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204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评审规则与标准</w:t>
      </w:r>
    </w:p>
    <w:p w14:paraId="233E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804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一、评审专家</w:t>
      </w:r>
    </w:p>
    <w:p w14:paraId="503F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由业内专家组建评审团，实行匿名独立评审。</w:t>
      </w:r>
    </w:p>
    <w:p w14:paraId="27C0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二、评审流程</w:t>
      </w:r>
    </w:p>
    <w:p w14:paraId="486B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资格初审→内容复审→等级终审→结果公示。</w:t>
      </w:r>
    </w:p>
    <w:p w14:paraId="26C7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三、评审标准（总分100分）</w:t>
      </w:r>
    </w:p>
    <w:p w14:paraId="0DCC4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（一）短视频</w:t>
      </w:r>
    </w:p>
    <w:p w14:paraId="48A3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1.主题思想（40分）——政治正确+导向鲜明</w:t>
      </w:r>
    </w:p>
    <w:p w14:paraId="25C9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紧扣崇尚科学、反对邪教、遵纪守法、珍爱生命、维护家庭与社会稳定主题，立场坚定、旗帜鲜明；内容真实可信、观点正确，无错误导向、无敏感表述、无模糊表述；能够揭露邪教危害、普及反邪知识、引导群众提高防范意识。</w:t>
      </w:r>
    </w:p>
    <w:p w14:paraId="6212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优秀：主题突出、立意深刻、教育意义强（31-40分）；良好：主题明确（16-30分）；一般：主题模糊（0-15分）；偏差：偏离主题或导向不当（0分）。</w:t>
      </w:r>
    </w:p>
    <w:p w14:paraId="3BD0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2.内容创意（25分）——新颖、易懂、有传播力</w:t>
      </w:r>
    </w:p>
    <w:p w14:paraId="3C47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意独特、角度新颖，不生硬、不刻板；叙事清晰、逻辑顺畅，故事、案例、科普表达生动；贴近群众、贴近生活，适合短视频传播（短、快、强记忆点）；可采用剧情短片、动画、科普讲解、情景剧、访谈、快闪、警示案例改编等。</w:t>
      </w:r>
    </w:p>
    <w:p w14:paraId="1EA4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3.价值导向与教育性（15分）——弘扬科学精神、法治观念、正能量</w:t>
      </w:r>
    </w:p>
    <w:p w14:paraId="78F2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具有警示性、说服力，能引发思考、起到宣传教育作用；无低俗、暴力、恐怖、过度渲染内容；适配新媒体传播，易引发共鸣，适合公益推广及全民科普。</w:t>
      </w:r>
    </w:p>
    <w:p w14:paraId="05D5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4.视听制作（15分）——画面、声音、剪辑</w:t>
      </w:r>
    </w:p>
    <w:p w14:paraId="1222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画面清晰稳定、构图合理、曝光正常，无明显抖动、模糊；声音清晰、无杂音、配乐恰当；剪辑流畅、节奏合理，字幕规范无误；时长符合要求（不超过3分钟，时长1分钟以内优先考虑）。</w:t>
      </w:r>
    </w:p>
    <w:p w14:paraId="161F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5.合规与原创（5分）</w:t>
      </w:r>
    </w:p>
    <w:p w14:paraId="1A7B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作品原创，无抄袭、无侵权；不涉及版权风险（音乐、素材、肖像等），符合赛事报送要求（格式、署名、无水印、广告）。</w:t>
      </w:r>
    </w:p>
    <w:p w14:paraId="38CA1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（二）平面设计</w:t>
      </w:r>
    </w:p>
    <w:p w14:paraId="6205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1.主题契合度（35分）——紧扣大赛指定主题</w:t>
      </w:r>
    </w:p>
    <w:p w14:paraId="78A0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精准传递反邪理念，寓意深刻，无歧义；立意鲜明、思想积极、正能量导向正确；主题表达直观易懂，不偏离、不牵强。</w:t>
      </w:r>
    </w:p>
    <w:p w14:paraId="441B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主题突出、立意深刻（30-35分）；主题明确（20-29分）；主题一般（10-19分）；偏离主题10分以下。</w:t>
      </w:r>
    </w:p>
    <w:p w14:paraId="52AD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2.创意构思（25分）——构思新颖、视角独特</w:t>
      </w:r>
    </w:p>
    <w:p w14:paraId="1017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构图巧妙、色彩协调、风格独特，视觉冲击力强，辨识度高，有记忆点；表现形式有创意（海报、展板等均可）。</w:t>
      </w:r>
    </w:p>
    <w:p w14:paraId="198F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3.视觉版式（20分）——构图稳定协调，视觉流程清晰</w:t>
      </w:r>
    </w:p>
    <w:p w14:paraId="5B66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版式布局均衡、层次分明、疏密得当，图文排版规整，不杂乱、不拥挤。</w:t>
      </w:r>
      <w:bookmarkStart w:id="0" w:name="_GoBack"/>
      <w:bookmarkEnd w:id="0"/>
    </w:p>
    <w:p w14:paraId="75E2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4.色彩与字体运用（15分）</w:t>
      </w:r>
    </w:p>
    <w:p w14:paraId="73F3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色彩搭配和谐、符合主题氛围，视觉舒适；配色不刺眼、不低俗，整体统一；字体选择合适、大小层级分明，文字清晰易读，无错别字。</w:t>
      </w:r>
    </w:p>
    <w:p w14:paraId="4F975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5.原创合规与完整度（5分）</w:t>
      </w:r>
    </w:p>
    <w:p w14:paraId="7A62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作品完全原创，无抄袭、无盗用素材，画面完整、细节精致，无明显瑕疵，符合参赛尺寸、格式、分辨率要求，适配线上线下多场景使用，无商业水印、广告。</w:t>
      </w:r>
    </w:p>
    <w:p w14:paraId="0F88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E964C-ED1F-4BB9-89B8-9B258A8FFE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CF9443-E680-4E90-ADF3-3D4DA77124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DF00984-1195-4845-A56E-12B021241F2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569E2B0-D3EB-41AA-ABC7-B28728CAC6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2BE4"/>
    <w:rsid w:val="5D3F625F"/>
    <w:rsid w:val="6633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1101</Characters>
  <Lines>0</Lines>
  <Paragraphs>0</Paragraphs>
  <TotalTime>6</TotalTime>
  <ScaleCrop>false</ScaleCrop>
  <LinksUpToDate>false</LinksUpToDate>
  <CharactersWithSpaces>1101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2026-05-25T06:48:00Z</dcterms:created>
  <dc:creator>Administrator</dc:creator>
  <cp:lastModifiedBy>LOVE学(蓝钻用户)</cp:lastModifiedBy>
  <dcterms:modified xsi:type="dcterms:W3CDTF">2026-05-27T01:40:50Z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eyJoZGlkIjoiMWM0OWZlYzMyZDRmMWFhYzJjM2I1MmMyZDE2YzNiZDciLCJ1c2VySWQiOiI4MjcwNTM2NzMifQ==</vt:lpwstr>
  </property>
  <property fmtid="{D5CDD505-2E9C-101B-9397-08002B2CF9AE}" pid="4" name="ICV">
    <vt:lpwstr>A9A882AB38AA4889BA0F3FAD4E8D36B8_12</vt:lpwstr>
  </property>
</Properties>
</file>